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6EE15" w14:textId="0ABBBCB4" w:rsidR="00C91328" w:rsidRPr="00B24FAA" w:rsidRDefault="00C91328" w:rsidP="0015025F">
      <w:pPr>
        <w:tabs>
          <w:tab w:val="left" w:pos="1985"/>
        </w:tabs>
        <w:spacing w:afterLines="50" w:after="120"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106</w:t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B24F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</w:t>
      </w:r>
      <w:r w:rsidR="0015025F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 </w:t>
      </w:r>
      <w:r w:rsidR="009A46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</w:t>
      </w:r>
      <w:r w:rsidR="009A46AA" w:rsidRPr="009A46AA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R4-2301653</w:t>
      </w:r>
    </w:p>
    <w:bookmarkEnd w:id="0"/>
    <w:p w14:paraId="15B841EC" w14:textId="10DC9DA4" w:rsidR="00C91328" w:rsidRPr="00B24FAA" w:rsidRDefault="00C91328" w:rsidP="0015025F">
      <w:pPr>
        <w:tabs>
          <w:tab w:val="left" w:pos="1985"/>
        </w:tabs>
        <w:spacing w:afterLines="50" w:after="120" w:line="240" w:lineRule="auto"/>
        <w:jc w:val="both"/>
        <w:rPr>
          <w:rFonts w:ascii="Times New Roman" w:eastAsia="宋体" w:hAnsi="Times New Roman" w:cs="Times New Roman"/>
          <w:b/>
          <w:sz w:val="24"/>
          <w:szCs w:val="20"/>
        </w:rPr>
      </w:pPr>
      <w:r w:rsidRPr="00B24FAA">
        <w:rPr>
          <w:rFonts w:ascii="Times New Roman" w:eastAsia="宋体" w:hAnsi="Times New Roman" w:cs="Times New Roman"/>
          <w:b/>
          <w:sz w:val="24"/>
          <w:szCs w:val="20"/>
        </w:rPr>
        <w:t>Athens, Greece, February 27 – March 3, 202</w:t>
      </w:r>
      <w:r w:rsidR="001067D2">
        <w:rPr>
          <w:rFonts w:ascii="Times New Roman" w:eastAsia="宋体" w:hAnsi="Times New Roman" w:cs="Times New Roman"/>
          <w:b/>
          <w:sz w:val="24"/>
          <w:szCs w:val="20"/>
        </w:rPr>
        <w:t>3</w:t>
      </w:r>
      <w:bookmarkStart w:id="1" w:name="_GoBack"/>
      <w:bookmarkEnd w:id="1"/>
    </w:p>
    <w:p w14:paraId="58C5A73E" w14:textId="735DBB70" w:rsidR="00C91328" w:rsidRPr="00B24FAA" w:rsidRDefault="00C91328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  <w:b/>
        </w:rPr>
      </w:pPr>
      <w:r w:rsidRPr="00B24FAA">
        <w:rPr>
          <w:rFonts w:ascii="Times New Roman" w:eastAsia="宋体" w:hAnsi="Times New Roman" w:cs="Times New Roman"/>
          <w:b/>
        </w:rPr>
        <w:t>Agenda Item:</w:t>
      </w:r>
      <w:r w:rsidRPr="00B24FAA">
        <w:rPr>
          <w:rFonts w:ascii="Times New Roman" w:eastAsia="宋体" w:hAnsi="Times New Roman" w:cs="Times New Roman"/>
          <w:b/>
        </w:rPr>
        <w:tab/>
      </w:r>
      <w:r w:rsidRPr="00B24FAA">
        <w:rPr>
          <w:rFonts w:ascii="Times New Roman" w:hAnsi="Times New Roman" w:cs="Times New Roman"/>
          <w:b/>
          <w:lang w:eastAsia="ja-JP"/>
        </w:rPr>
        <w:t>9.8.3.5</w:t>
      </w:r>
    </w:p>
    <w:p w14:paraId="57DB46B7" w14:textId="77777777" w:rsidR="00CC5B11" w:rsidRPr="00B24FAA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lang w:eastAsia="ja-JP"/>
        </w:rPr>
      </w:pPr>
      <w:r w:rsidRPr="00B24FAA">
        <w:rPr>
          <w:rFonts w:ascii="Times New Roman" w:hAnsi="Times New Roman" w:cs="Times New Roman"/>
          <w:b/>
        </w:rPr>
        <w:t xml:space="preserve">Source: </w:t>
      </w:r>
      <w:r w:rsidRPr="00B24FAA">
        <w:rPr>
          <w:rFonts w:ascii="Times New Roman" w:hAnsi="Times New Roman" w:cs="Times New Roman"/>
          <w:b/>
        </w:rPr>
        <w:tab/>
        <w:t>OPPO</w:t>
      </w:r>
    </w:p>
    <w:p w14:paraId="1234CEC6" w14:textId="1EBED71E" w:rsidR="00CC5B11" w:rsidRPr="00B24FAA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eastAsia="宋体" w:hAnsi="Times New Roman" w:cs="Times New Roman"/>
        </w:rPr>
      </w:pPr>
      <w:r w:rsidRPr="00B24FAA">
        <w:rPr>
          <w:rFonts w:ascii="Times New Roman" w:hAnsi="Times New Roman" w:cs="Times New Roman"/>
          <w:b/>
        </w:rPr>
        <w:t>Title:</w:t>
      </w:r>
      <w:r w:rsidRPr="00B24FAA">
        <w:rPr>
          <w:rFonts w:ascii="Times New Roman" w:hAnsi="Times New Roman" w:cs="Times New Roman"/>
        </w:rPr>
        <w:t xml:space="preserve"> </w:t>
      </w:r>
      <w:r w:rsidRPr="00B24FAA">
        <w:rPr>
          <w:rFonts w:ascii="Times New Roman" w:hAnsi="Times New Roman" w:cs="Times New Roman"/>
        </w:rPr>
        <w:tab/>
      </w:r>
      <w:r w:rsidR="00274DEB" w:rsidRPr="00B24FAA">
        <w:rPr>
          <w:rFonts w:ascii="Times New Roman" w:hAnsi="Times New Roman" w:cs="Times New Roman"/>
          <w:b/>
          <w:lang w:eastAsia="ja-JP"/>
        </w:rPr>
        <w:t>O</w:t>
      </w:r>
      <w:r w:rsidR="0082164E" w:rsidRPr="00B24FAA">
        <w:rPr>
          <w:rFonts w:ascii="Times New Roman" w:hAnsi="Times New Roman" w:cs="Times New Roman"/>
          <w:b/>
          <w:lang w:eastAsia="ja-JP"/>
        </w:rPr>
        <w:t xml:space="preserve">n </w:t>
      </w:r>
      <w:r w:rsidR="00851739" w:rsidRPr="00B24FAA">
        <w:rPr>
          <w:rFonts w:ascii="Times New Roman" w:hAnsi="Times New Roman" w:cs="Times New Roman"/>
          <w:b/>
          <w:lang w:eastAsia="ja-JP"/>
        </w:rPr>
        <w:t>TCI state switching</w:t>
      </w:r>
      <w:r w:rsidR="0082164E" w:rsidRPr="00B24FAA">
        <w:rPr>
          <w:rFonts w:ascii="Times New Roman" w:hAnsi="Times New Roman" w:cs="Times New Roman"/>
          <w:b/>
          <w:lang w:eastAsia="ja-JP"/>
        </w:rPr>
        <w:t xml:space="preserve"> for FR2 </w:t>
      </w:r>
      <w:r w:rsidR="00851739" w:rsidRPr="00B24FAA">
        <w:rPr>
          <w:rFonts w:ascii="Times New Roman" w:hAnsi="Times New Roman" w:cs="Times New Roman"/>
          <w:b/>
          <w:lang w:eastAsia="ja-JP"/>
        </w:rPr>
        <w:t>multi-Rx DL</w:t>
      </w:r>
    </w:p>
    <w:p w14:paraId="0EED31D0" w14:textId="77777777" w:rsidR="00CC5B11" w:rsidRPr="00B24FAA" w:rsidRDefault="00CC5B11" w:rsidP="00B24FAA">
      <w:pPr>
        <w:tabs>
          <w:tab w:val="left" w:pos="1985"/>
        </w:tabs>
        <w:spacing w:beforeLines="50" w:before="120" w:afterLines="50" w:after="120" w:line="240" w:lineRule="auto"/>
        <w:jc w:val="both"/>
        <w:rPr>
          <w:rFonts w:ascii="Times New Roman" w:hAnsi="Times New Roman" w:cs="Times New Roman"/>
          <w:b/>
        </w:rPr>
      </w:pPr>
      <w:r w:rsidRPr="00B24FAA">
        <w:rPr>
          <w:rFonts w:ascii="Times New Roman" w:hAnsi="Times New Roman" w:cs="Times New Roman"/>
          <w:b/>
        </w:rPr>
        <w:t>Document for:</w:t>
      </w:r>
      <w:r w:rsidRPr="00B24FAA">
        <w:rPr>
          <w:rFonts w:ascii="Times New Roman" w:hAnsi="Times New Roman" w:cs="Times New Roman"/>
        </w:rPr>
        <w:tab/>
      </w:r>
      <w:r w:rsidRPr="00B24FAA">
        <w:rPr>
          <w:rFonts w:ascii="Times New Roman" w:hAnsi="Times New Roman" w:cs="Times New Roman"/>
          <w:b/>
        </w:rPr>
        <w:t>Approval</w:t>
      </w:r>
    </w:p>
    <w:p w14:paraId="6D0B833A" w14:textId="77777777" w:rsidR="00973137" w:rsidRPr="00B24FAA" w:rsidRDefault="00625A35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1</w:t>
      </w:r>
      <w:r w:rsidRPr="00B24FAA">
        <w:rPr>
          <w:rFonts w:ascii="Times New Roman" w:hAnsi="Times New Roman"/>
        </w:rPr>
        <w:tab/>
        <w:t>Introduction</w:t>
      </w:r>
    </w:p>
    <w:p w14:paraId="626EB749" w14:textId="6EBBD034" w:rsidR="0027408D" w:rsidRPr="00B24FAA" w:rsidRDefault="0027408D" w:rsidP="00B24FAA">
      <w:pPr>
        <w:pStyle w:val="a6"/>
        <w:spacing w:beforeLines="50" w:before="120" w:afterLines="50" w:line="240" w:lineRule="auto"/>
        <w:rPr>
          <w:rFonts w:ascii="Times New Roman" w:eastAsiaTheme="minorEastAsia" w:hAnsi="Times New Roman" w:cs="Times New Roman"/>
          <w:lang w:val="en-GB"/>
        </w:rPr>
      </w:pPr>
      <w:r w:rsidRPr="00B24FAA">
        <w:rPr>
          <w:rFonts w:ascii="Times New Roman" w:hAnsi="Times New Roman" w:cs="Times New Roman"/>
          <w:lang w:val="en-GB"/>
        </w:rPr>
        <w:t>A WF on Rel-18 FR2_multiRX_DL was approved in RAN4#10</w:t>
      </w:r>
      <w:r w:rsidR="00C91328" w:rsidRPr="00B24FAA">
        <w:rPr>
          <w:rFonts w:ascii="Times New Roman" w:hAnsi="Times New Roman" w:cs="Times New Roman"/>
          <w:lang w:val="en-GB"/>
        </w:rPr>
        <w:t>5</w:t>
      </w:r>
      <w:r w:rsidRPr="00B24FAA">
        <w:rPr>
          <w:rFonts w:ascii="Times New Roman" w:hAnsi="Times New Roman" w:cs="Times New Roman"/>
          <w:lang w:val="en-GB"/>
        </w:rPr>
        <w:t xml:space="preserve"> meeting [1].</w:t>
      </w:r>
      <w:r w:rsidRPr="00B24FAA">
        <w:rPr>
          <w:rFonts w:ascii="Times New Roman" w:eastAsiaTheme="minorEastAsia" w:hAnsi="Times New Roman" w:cs="Times New Roman"/>
          <w:lang w:val="en-GB"/>
        </w:rPr>
        <w:t xml:space="preserve"> </w:t>
      </w:r>
      <w:r w:rsidR="00F0082D" w:rsidRPr="00B24FAA">
        <w:rPr>
          <w:rFonts w:ascii="Times New Roman" w:eastAsiaTheme="minorEastAsia" w:hAnsi="Times New Roman" w:cs="Times New Roman"/>
          <w:lang w:val="en-GB"/>
        </w:rPr>
        <w:t>RAN4 agreed that dual TCI state switching requirements are defined for simultaneous reception. It is FFS whether we need to define any new requirements for non-simultaneous reception.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76998" w:rsidRPr="00B24FAA" w14:paraId="35715231" w14:textId="77777777" w:rsidTr="00B76998">
        <w:tc>
          <w:tcPr>
            <w:tcW w:w="9629" w:type="dxa"/>
          </w:tcPr>
          <w:p w14:paraId="56FBACCE" w14:textId="64F46242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u w:val="single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u w:val="single"/>
              </w:rPr>
              <w:t>Background on the terminology:</w:t>
            </w:r>
          </w:p>
          <w:p w14:paraId="576AEEE7" w14:textId="46F59902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Single DCI:</w:t>
            </w:r>
          </w:p>
          <w:p w14:paraId="3C5BEA3C" w14:textId="77777777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•</w:t>
            </w: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ab/>
              <w:t>One DCI for two TCI states (PDSCH single DCI)</w:t>
            </w:r>
          </w:p>
          <w:p w14:paraId="2D35E33A" w14:textId="77777777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•</w:t>
            </w: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ab/>
              <w:t>One MAC CE for two TCI states (PDCCH SFN)</w:t>
            </w:r>
          </w:p>
          <w:p w14:paraId="075B0356" w14:textId="77777777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Multiple DCI:</w:t>
            </w:r>
          </w:p>
          <w:p w14:paraId="499BB6DC" w14:textId="77777777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sz w:val="20"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•</w:t>
            </w: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ab/>
              <w:t>Two DCI one for each TCI state (PDSCH multiple DCI)</w:t>
            </w:r>
          </w:p>
          <w:p w14:paraId="6EFE8641" w14:textId="0E6A757E" w:rsidR="00B76998" w:rsidRPr="00B24FAA" w:rsidRDefault="00B76998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iCs/>
                <w:lang w:eastAsia="zh-CN"/>
              </w:rPr>
            </w:pP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>•</w:t>
            </w:r>
            <w:r w:rsidRPr="00B24FAA">
              <w:rPr>
                <w:rFonts w:ascii="Times New Roman" w:hAnsi="Times New Roman" w:cs="Times New Roman"/>
                <w:iCs/>
                <w:sz w:val="20"/>
                <w:lang w:eastAsia="zh-CN"/>
              </w:rPr>
              <w:tab/>
              <w:t>Two MAC CE one for each TCI state (PDCCH non-SFN)</w:t>
            </w:r>
          </w:p>
        </w:tc>
      </w:tr>
    </w:tbl>
    <w:p w14:paraId="4C7A61E8" w14:textId="0DEAC36D" w:rsidR="0027408D" w:rsidRPr="00B24FAA" w:rsidRDefault="0027408D" w:rsidP="00B24FAA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bCs/>
        </w:rPr>
      </w:pPr>
      <w:r w:rsidRPr="00B24FAA">
        <w:rPr>
          <w:rFonts w:ascii="Times New Roman" w:hAnsi="Times New Roman" w:cs="Times New Roman"/>
          <w:lang w:val="en-GB"/>
        </w:rPr>
        <w:t xml:space="preserve">In this contribution, we further discuss </w:t>
      </w:r>
      <w:r w:rsidR="00124422" w:rsidRPr="00B24FAA">
        <w:rPr>
          <w:rFonts w:ascii="Times New Roman" w:hAnsi="Times New Roman" w:cs="Times New Roman"/>
          <w:lang w:val="en-GB"/>
        </w:rPr>
        <w:t xml:space="preserve">TCI state switching </w:t>
      </w:r>
      <w:r w:rsidR="00183E44" w:rsidRPr="00B24FAA">
        <w:rPr>
          <w:rFonts w:ascii="Times New Roman" w:hAnsi="Times New Roman" w:cs="Times New Roman"/>
          <w:lang w:val="en-GB"/>
        </w:rPr>
        <w:t>related</w:t>
      </w:r>
      <w:r w:rsidRPr="00B24FAA">
        <w:rPr>
          <w:rFonts w:ascii="Times New Roman" w:hAnsi="Times New Roman" w:cs="Times New Roman"/>
          <w:lang w:val="en-GB"/>
        </w:rPr>
        <w:t xml:space="preserve"> RRM requirements for FR2 multi-Rx reception of the WI NR_FR2_multiRX_DL [2].</w:t>
      </w:r>
    </w:p>
    <w:p w14:paraId="0591687E" w14:textId="3680F054" w:rsidR="00973137" w:rsidRPr="00B24FAA" w:rsidRDefault="00625A35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2</w:t>
      </w:r>
      <w:r w:rsidRPr="00B24FAA">
        <w:rPr>
          <w:rFonts w:ascii="Times New Roman" w:hAnsi="Times New Roman"/>
        </w:rPr>
        <w:tab/>
      </w:r>
      <w:r w:rsidR="007D20D2" w:rsidRPr="00B24FAA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D39" w:rsidRPr="00B24FAA" w14:paraId="4F8A3C1A" w14:textId="77777777" w:rsidTr="002A6D39">
        <w:tc>
          <w:tcPr>
            <w:tcW w:w="9629" w:type="dxa"/>
          </w:tcPr>
          <w:p w14:paraId="4C009F4E" w14:textId="77777777" w:rsidR="004F5DD7" w:rsidRPr="00B24FAA" w:rsidRDefault="004F5DD7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B24FAA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1-1-1: Regarding group-based reporting and simultaneous reception with different QCL type-D</w:t>
            </w:r>
          </w:p>
          <w:p w14:paraId="4EEC4382" w14:textId="77777777" w:rsidR="004F5DD7" w:rsidRPr="00B24FAA" w:rsidRDefault="004F5DD7" w:rsidP="00B24FAA">
            <w:pPr>
              <w:pStyle w:val="aff4"/>
              <w:numPr>
                <w:ilvl w:val="0"/>
                <w:numId w:val="31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  <w:r w:rsidRPr="00B24FAA">
              <w:rPr>
                <w:rFonts w:ascii="Times New Roman" w:hAnsi="Times New Roman" w:cs="Times New Roman"/>
                <w:lang w:val="sv-SE" w:eastAsia="zh-CN"/>
              </w:rPr>
              <w:t xml:space="preserve"> Agreement</w:t>
            </w:r>
          </w:p>
          <w:p w14:paraId="58E6B9B4" w14:textId="77777777" w:rsidR="004F5DD7" w:rsidRPr="00B24FAA" w:rsidRDefault="004F5DD7" w:rsidP="00B24FAA">
            <w:pPr>
              <w:pStyle w:val="aff4"/>
              <w:numPr>
                <w:ilvl w:val="1"/>
                <w:numId w:val="31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group based reporting is one of the means to enable simultaneous reception</w:t>
            </w:r>
          </w:p>
          <w:p w14:paraId="266F0250" w14:textId="77777777" w:rsidR="004F5DD7" w:rsidRPr="00B24FAA" w:rsidRDefault="004F5DD7" w:rsidP="00B24FAA">
            <w:pPr>
              <w:pStyle w:val="aff4"/>
              <w:numPr>
                <w:ilvl w:val="0"/>
                <w:numId w:val="31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eastAsia="zh-CN"/>
              </w:rPr>
              <w:t>Candidate proposals for further study</w:t>
            </w:r>
          </w:p>
          <w:p w14:paraId="0BB87B53" w14:textId="77777777" w:rsidR="004F5DD7" w:rsidRPr="00B24FAA" w:rsidRDefault="004F5DD7" w:rsidP="00B24FAA">
            <w:pPr>
              <w:pStyle w:val="aff4"/>
              <w:numPr>
                <w:ilvl w:val="1"/>
                <w:numId w:val="31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Option 1: Simultaneous reception is not necessarily based on group-based reception</w:t>
            </w:r>
          </w:p>
          <w:p w14:paraId="6C95F22B" w14:textId="77777777" w:rsidR="002A6D39" w:rsidRPr="00B24FAA" w:rsidRDefault="004F5DD7" w:rsidP="00B24FAA">
            <w:pPr>
              <w:pStyle w:val="aff4"/>
              <w:numPr>
                <w:ilvl w:val="1"/>
                <w:numId w:val="31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Option 2: TCI switch requirements are to specify dual TCI state switching requirements for multi-Rx (not necessary to limit to only simultaneous reception)</w:t>
            </w:r>
          </w:p>
          <w:p w14:paraId="5FEF0219" w14:textId="77777777" w:rsidR="00080702" w:rsidRPr="00B24FAA" w:rsidRDefault="00080702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B24FAA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1-1-2:</w:t>
            </w:r>
            <w:r w:rsidRPr="00B24FAA">
              <w:rPr>
                <w:rFonts w:ascii="Times New Roman" w:hAnsi="Times New Roman" w:cs="Times New Roman"/>
                <w:b/>
                <w:lang w:eastAsia="ko-KR"/>
              </w:rPr>
              <w:t xml:space="preserve"> As per RAN1 agreements, group-based reporting is supported for single DCI only. If group-based reporting is a prerequisite, this AI can </w:t>
            </w:r>
            <w:r w:rsidRPr="00B24FAA">
              <w:rPr>
                <w:rFonts w:ascii="Times New Roman" w:hAnsi="Times New Roman" w:cs="Times New Roman"/>
                <w:b/>
                <w:highlight w:val="yellow"/>
                <w:lang w:eastAsia="ko-KR"/>
              </w:rPr>
              <w:t>focus on single DCI case only</w:t>
            </w:r>
            <w:r w:rsidRPr="00B24FAA">
              <w:rPr>
                <w:rFonts w:ascii="Times New Roman" w:hAnsi="Times New Roman" w:cs="Times New Roman"/>
                <w:b/>
                <w:lang w:eastAsia="ko-KR"/>
              </w:rPr>
              <w:t>.</w:t>
            </w:r>
            <w:r w:rsidRPr="00B24FAA">
              <w:rPr>
                <w:rFonts w:ascii="Times New Roman" w:hAnsi="Times New Roman" w:cs="Times New Roman"/>
                <w:b/>
                <w:u w:val="single"/>
                <w:lang w:eastAsia="ko-KR"/>
              </w:rPr>
              <w:t xml:space="preserve"> </w:t>
            </w:r>
          </w:p>
          <w:p w14:paraId="6F3065E0" w14:textId="77777777" w:rsidR="00080702" w:rsidRPr="00B24FAA" w:rsidRDefault="00080702" w:rsidP="00B24FAA">
            <w:pPr>
              <w:pStyle w:val="aff4"/>
              <w:numPr>
                <w:ilvl w:val="0"/>
                <w:numId w:val="22"/>
              </w:numPr>
              <w:spacing w:beforeLines="50" w:before="120" w:afterLines="50" w:after="120" w:line="240" w:lineRule="auto"/>
              <w:ind w:left="720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eastAsia="zh-CN"/>
              </w:rPr>
              <w:t>Candidate proposals for further study</w:t>
            </w:r>
          </w:p>
          <w:p w14:paraId="45A88A95" w14:textId="26B30498" w:rsidR="00080702" w:rsidRPr="00B24FAA" w:rsidRDefault="00080702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lastRenderedPageBreak/>
              <w:t xml:space="preserve">Companies to check this RAN1 agreement and more discussion is needed during next meeting. </w:t>
            </w:r>
          </w:p>
          <w:p w14:paraId="6DD95D61" w14:textId="77777777" w:rsidR="00080702" w:rsidRPr="00B24FAA" w:rsidRDefault="00080702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B24FAA">
              <w:rPr>
                <w:rFonts w:ascii="Times New Roman" w:hAnsi="Times New Roman" w:cs="Times New Roman"/>
                <w:b/>
                <w:u w:val="single"/>
                <w:lang w:eastAsia="ko-KR"/>
              </w:rPr>
              <w:t xml:space="preserve">Issue 1-1-3: Definition of Dual TCI state switch </w:t>
            </w:r>
          </w:p>
          <w:p w14:paraId="46E0379E" w14:textId="77777777" w:rsidR="00080702" w:rsidRPr="00B24FAA" w:rsidRDefault="00080702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highlight w:val="green"/>
                <w:lang w:val="en-US" w:eastAsia="zh-CN"/>
              </w:rPr>
              <w:t>Dual TCI state switching refers to the case when two active TCI states with QCL type D for simultaneous reception of PDCCH/PDSCH are involved before and/or after TCI switching command.</w:t>
            </w: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 </w:t>
            </w:r>
          </w:p>
          <w:p w14:paraId="22C27919" w14:textId="77777777" w:rsidR="00080702" w:rsidRPr="00B24FAA" w:rsidRDefault="00080702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In other words, following are considered as dual TCI state switching to discuss the requirements </w:t>
            </w:r>
          </w:p>
          <w:p w14:paraId="19AC7F9D" w14:textId="77777777" w:rsidR="00080702" w:rsidRPr="00B24FAA" w:rsidRDefault="00080702" w:rsidP="00B24FAA">
            <w:pPr>
              <w:pStyle w:val="aff4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eastAsia="zh-CN"/>
              </w:rPr>
              <w:t>Single DCI to Dual TCI</w:t>
            </w:r>
          </w:p>
          <w:p w14:paraId="09A8611C" w14:textId="77777777" w:rsidR="00080702" w:rsidRPr="00B24FAA" w:rsidRDefault="00080702" w:rsidP="00B24FAA">
            <w:pPr>
              <w:pStyle w:val="aff4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Dual TCI to Dual TCI </w:t>
            </w:r>
          </w:p>
          <w:p w14:paraId="7792A328" w14:textId="1582DA31" w:rsidR="00F87DF4" w:rsidRPr="00B24FAA" w:rsidRDefault="00080702" w:rsidP="00B24FAA">
            <w:pPr>
              <w:pStyle w:val="aff4"/>
              <w:numPr>
                <w:ilvl w:val="2"/>
                <w:numId w:val="22"/>
              </w:numPr>
              <w:spacing w:beforeLines="50" w:before="120" w:afterLines="50" w:after="120" w:line="240" w:lineRule="auto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FFS: Dual TCI to Single TCI</w:t>
            </w:r>
          </w:p>
        </w:tc>
      </w:tr>
    </w:tbl>
    <w:p w14:paraId="5D24EC6F" w14:textId="6C8F58D4" w:rsidR="00513098" w:rsidRPr="00B24FAA" w:rsidRDefault="00513098" w:rsidP="00B24FAA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</w:rPr>
      </w:pPr>
      <w:r w:rsidRPr="00B24FAA">
        <w:rPr>
          <w:rFonts w:ascii="Times New Roman" w:hAnsi="Times New Roman" w:cs="Times New Roman"/>
          <w:iCs/>
        </w:rPr>
        <w:lastRenderedPageBreak/>
        <w:t xml:space="preserve">As background, different implementation scenarios are considered at the UE. Single-TCI reception on different beams has been supported by the RAN1 specifications since Rel-15 via the Type I codebook, which could be achieved at the UE with either a single panel or multiple panels. Alternatively, dual TCI operation can be combined with the Rel-17 </w:t>
      </w:r>
      <w:proofErr w:type="spellStart"/>
      <w:r w:rsidRPr="00B24FAA">
        <w:rPr>
          <w:rFonts w:ascii="Times New Roman" w:hAnsi="Times New Roman" w:cs="Times New Roman"/>
          <w:iCs/>
        </w:rPr>
        <w:t>mTRP</w:t>
      </w:r>
      <w:proofErr w:type="spellEnd"/>
      <w:r w:rsidRPr="00B24FAA">
        <w:rPr>
          <w:rFonts w:ascii="Times New Roman" w:hAnsi="Times New Roman" w:cs="Times New Roman"/>
          <w:iCs/>
        </w:rPr>
        <w:t xml:space="preserve"> framework even if the base station is actually deployed as a single TRP. Dual TCI is assumed to be high priority in this WI.</w:t>
      </w:r>
    </w:p>
    <w:p w14:paraId="547DFC12" w14:textId="07CD907D" w:rsidR="00D236ED" w:rsidRPr="00B24FAA" w:rsidRDefault="002B42DC" w:rsidP="00B24FAA">
      <w:pPr>
        <w:spacing w:beforeLines="50" w:before="120" w:afterLines="50" w:after="120" w:line="240" w:lineRule="auto"/>
        <w:jc w:val="both"/>
        <w:rPr>
          <w:rFonts w:ascii="Times New Roman" w:hAnsi="Times New Roman" w:cs="Times New Roman"/>
          <w:iCs/>
        </w:rPr>
      </w:pPr>
      <w:r w:rsidRPr="00B24FAA">
        <w:rPr>
          <w:rFonts w:ascii="Times New Roman" w:hAnsi="Times New Roman" w:cs="Times New Roman"/>
          <w:iCs/>
        </w:rPr>
        <w:t>As agreed in last meeting, dual TCI state switching requirements shall be based on Rel-15/Rel-16 TCI framework</w:t>
      </w:r>
      <w:r w:rsidR="00571036" w:rsidRPr="00B24FAA">
        <w:rPr>
          <w:rFonts w:ascii="Times New Roman" w:hAnsi="Times New Roman" w:cs="Times New Roman"/>
          <w:iCs/>
        </w:rPr>
        <w:t>.</w:t>
      </w:r>
      <w:r w:rsidR="00F7645A" w:rsidRPr="00B24FAA">
        <w:rPr>
          <w:rFonts w:ascii="Times New Roman" w:hAnsi="Times New Roman" w:cs="Times New Roman"/>
          <w:iCs/>
        </w:rPr>
        <w:t xml:space="preserve"> </w:t>
      </w:r>
      <w:r w:rsidR="00D236ED" w:rsidRPr="00B24FAA">
        <w:rPr>
          <w:rFonts w:ascii="Times New Roman" w:hAnsi="Times New Roman" w:cs="Times New Roman"/>
          <w:iCs/>
        </w:rPr>
        <w:t>Dual TCI state switching refers to the case when two active TCI states with QCL type D for simultaneous reception of PDCCH/PDSCH are involved before and/or after TCI switching command.</w:t>
      </w:r>
    </w:p>
    <w:p w14:paraId="5FFBC820" w14:textId="543C1750" w:rsidR="00A164BA" w:rsidRPr="00B24FAA" w:rsidRDefault="00F138B9" w:rsidP="00B24FAA">
      <w:pPr>
        <w:spacing w:beforeLines="50" w:before="120" w:afterLines="50" w:after="120" w:line="240" w:lineRule="auto"/>
        <w:jc w:val="both"/>
        <w:rPr>
          <w:rFonts w:ascii="Times New Roman" w:eastAsiaTheme="minorEastAsia" w:hAnsi="Times New Roman" w:cs="Times New Roman"/>
          <w:lang w:eastAsia="zh-CN"/>
        </w:rPr>
      </w:pPr>
      <w:r w:rsidRPr="00B24FAA">
        <w:rPr>
          <w:rFonts w:ascii="Times New Roman" w:eastAsiaTheme="minorEastAsia" w:hAnsi="Times New Roman" w:cs="Times New Roman"/>
        </w:rPr>
        <w:t>The triggering conditions of dual TCI switch should be considered, e.g., one single RRC or MAC-CE triggered dual TCI switching, or different DCI</w:t>
      </w:r>
      <w:r w:rsidR="00513098" w:rsidRPr="00B24FAA">
        <w:rPr>
          <w:rFonts w:ascii="Times New Roman" w:eastAsiaTheme="minorEastAsia" w:hAnsi="Times New Roman" w:cs="Times New Roman"/>
        </w:rPr>
        <w:t>s</w:t>
      </w:r>
      <w:r w:rsidRPr="00B24FAA">
        <w:rPr>
          <w:rFonts w:ascii="Times New Roman" w:eastAsiaTheme="minorEastAsia" w:hAnsi="Times New Roman" w:cs="Times New Roman"/>
        </w:rPr>
        <w:t xml:space="preserve"> </w:t>
      </w:r>
      <w:r w:rsidR="00D236ED" w:rsidRPr="00B24FAA">
        <w:rPr>
          <w:rFonts w:ascii="Times New Roman" w:eastAsiaTheme="minorEastAsia" w:hAnsi="Times New Roman" w:cs="Times New Roman"/>
        </w:rPr>
        <w:t xml:space="preserve">or MAC-CE </w:t>
      </w:r>
      <w:r w:rsidRPr="00B24FAA">
        <w:rPr>
          <w:rFonts w:ascii="Times New Roman" w:eastAsiaTheme="minorEastAsia" w:hAnsi="Times New Roman" w:cs="Times New Roman"/>
        </w:rPr>
        <w:t xml:space="preserve">triggered dual TCI switching. </w:t>
      </w:r>
      <w:r w:rsidR="00513098" w:rsidRPr="00B24FAA">
        <w:rPr>
          <w:rFonts w:ascii="Times New Roman" w:eastAsiaTheme="minorEastAsia" w:hAnsi="Times New Roman" w:cs="Times New Roman"/>
          <w:lang w:eastAsia="zh-CN"/>
        </w:rPr>
        <w:t>As listed in previous proposals, at least 8 cases can</w:t>
      </w:r>
      <w:r w:rsidR="00A164BA" w:rsidRPr="00B24FAA">
        <w:rPr>
          <w:rFonts w:ascii="Times New Roman" w:eastAsiaTheme="minorEastAsia" w:hAnsi="Times New Roman" w:cs="Times New Roman"/>
          <w:lang w:eastAsia="zh-CN"/>
        </w:rPr>
        <w:t xml:space="preserve"> occur for TCI state switch in dual TCI operation.</w:t>
      </w:r>
      <w:r w:rsidR="00513098" w:rsidRPr="00B24FAA">
        <w:rPr>
          <w:rFonts w:ascii="Times New Roman" w:eastAsiaTheme="minorEastAsia" w:hAnsi="Times New Roman" w:cs="Times New Roman"/>
          <w:lang w:eastAsia="zh-CN"/>
        </w:rPr>
        <w:t xml:space="preserve"> </w:t>
      </w:r>
      <w:r w:rsidR="00960454" w:rsidRPr="00B24FAA">
        <w:rPr>
          <w:rFonts w:ascii="Times New Roman" w:eastAsiaTheme="minorEastAsia" w:hAnsi="Times New Roman" w:cs="Times New Roman"/>
          <w:lang w:eastAsia="zh-CN"/>
        </w:rPr>
        <w:t>In our view, we can</w:t>
      </w:r>
      <w:r w:rsidR="00A164BA" w:rsidRPr="00B24FAA">
        <w:rPr>
          <w:rFonts w:ascii="Times New Roman" w:eastAsiaTheme="minorEastAsia" w:hAnsi="Times New Roman" w:cs="Times New Roman"/>
          <w:lang w:eastAsia="zh-CN"/>
        </w:rPr>
        <w:t xml:space="preserve"> firstly</w:t>
      </w:r>
      <w:r w:rsidR="00960454" w:rsidRPr="00B24FAA">
        <w:rPr>
          <w:rFonts w:ascii="Times New Roman" w:eastAsiaTheme="minorEastAsia" w:hAnsi="Times New Roman" w:cs="Times New Roman"/>
          <w:lang w:eastAsia="zh-CN"/>
        </w:rPr>
        <w:t xml:space="preserve"> focus on </w:t>
      </w:r>
      <w:r w:rsidR="00A164BA" w:rsidRPr="00B24FAA">
        <w:rPr>
          <w:rFonts w:ascii="Times New Roman" w:eastAsiaTheme="minorEastAsia" w:hAnsi="Times New Roman" w:cs="Times New Roman"/>
          <w:lang w:eastAsia="zh-CN"/>
        </w:rPr>
        <w:t xml:space="preserve">the case that </w:t>
      </w:r>
      <w:r w:rsidR="00A164BA" w:rsidRPr="00B24FAA">
        <w:rPr>
          <w:rFonts w:ascii="Times New Roman" w:eastAsiaTheme="minorEastAsia" w:hAnsi="Times New Roman" w:cs="Times New Roman"/>
          <w:b/>
          <w:lang w:eastAsia="zh-CN"/>
        </w:rPr>
        <w:t>both TCI states are changed</w:t>
      </w:r>
      <w:r w:rsidR="00D236ED" w:rsidRPr="00B24FAA">
        <w:rPr>
          <w:rFonts w:ascii="Times New Roman" w:eastAsiaTheme="minorEastAsia" w:hAnsi="Times New Roman" w:cs="Times New Roman"/>
          <w:lang w:eastAsia="zh-CN"/>
        </w:rPr>
        <w:t xml:space="preserve"> and </w:t>
      </w:r>
      <w:r w:rsidR="00D236ED" w:rsidRPr="00B24FAA">
        <w:rPr>
          <w:rFonts w:ascii="Times New Roman" w:eastAsiaTheme="minorEastAsia" w:hAnsi="Times New Roman" w:cs="Times New Roman"/>
          <w:b/>
          <w:lang w:eastAsia="zh-CN"/>
        </w:rPr>
        <w:t>TCI states switch</w:t>
      </w:r>
      <w:r w:rsidR="00D236ED" w:rsidRPr="00B24FAA">
        <w:rPr>
          <w:rFonts w:ascii="Times New Roman" w:hAnsi="Times New Roman" w:cs="Times New Roman"/>
          <w:b/>
          <w:szCs w:val="24"/>
          <w:lang w:eastAsia="zh-CN"/>
        </w:rPr>
        <w:t xml:space="preserve"> simultaneously</w:t>
      </w:r>
      <w:r w:rsidR="00A164BA" w:rsidRPr="00B24FAA">
        <w:rPr>
          <w:rFonts w:ascii="Times New Roman" w:eastAsiaTheme="minorEastAsia" w:hAnsi="Times New Roman" w:cs="Times New Roman"/>
          <w:lang w:eastAsia="zh-CN"/>
        </w:rPr>
        <w:t xml:space="preserve">. </w:t>
      </w:r>
      <w:r w:rsidR="009F07B2" w:rsidRPr="00B24FAA">
        <w:rPr>
          <w:rFonts w:ascii="Times New Roman" w:eastAsiaTheme="minorEastAsia" w:hAnsi="Times New Roman" w:cs="Times New Roman"/>
          <w:lang w:eastAsia="zh-CN"/>
        </w:rPr>
        <w:t>T</w:t>
      </w:r>
      <w:r w:rsidR="00941486" w:rsidRPr="00B24FAA">
        <w:rPr>
          <w:rFonts w:ascii="Times New Roman" w:eastAsiaTheme="minorEastAsia" w:hAnsi="Times New Roman" w:cs="Times New Roman"/>
          <w:lang w:eastAsia="zh-CN"/>
        </w:rPr>
        <w:t>he transition of two TCI state and one TCI state</w:t>
      </w:r>
      <w:r w:rsidR="009F07B2" w:rsidRPr="00B24FAA">
        <w:rPr>
          <w:rFonts w:ascii="Times New Roman" w:eastAsiaTheme="minorEastAsia" w:hAnsi="Times New Roman" w:cs="Times New Roman"/>
          <w:lang w:eastAsia="zh-CN"/>
        </w:rPr>
        <w:t>, can be considered at later stage.</w:t>
      </w:r>
    </w:p>
    <w:p w14:paraId="68359719" w14:textId="6DFB43F3" w:rsidR="009F07B2" w:rsidRPr="00B24FAA" w:rsidRDefault="009F07B2" w:rsidP="00B24FAA">
      <w:p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lang w:eastAsia="zh-CN"/>
        </w:rPr>
      </w:pPr>
      <w:r w:rsidRPr="00B24FAA">
        <w:rPr>
          <w:rFonts w:ascii="Times New Roman" w:eastAsiaTheme="minorEastAsia" w:hAnsi="Times New Roman" w:cs="Times New Roman"/>
          <w:b/>
          <w:lang w:eastAsia="zh-CN"/>
        </w:rPr>
        <w:t xml:space="preserve">Proposal 1: Focus on </w:t>
      </w:r>
      <w:r w:rsidRPr="00B24FAA">
        <w:rPr>
          <w:rFonts w:ascii="Times New Roman" w:hAnsi="Times New Roman" w:cs="Times New Roman"/>
          <w:b/>
          <w:szCs w:val="24"/>
          <w:lang w:eastAsia="zh-CN"/>
        </w:rPr>
        <w:t xml:space="preserve">simultaneous </w:t>
      </w:r>
      <w:r w:rsidRPr="00B24FAA">
        <w:rPr>
          <w:rFonts w:ascii="Times New Roman" w:eastAsiaTheme="minorEastAsia" w:hAnsi="Times New Roman" w:cs="Times New Roman"/>
          <w:b/>
          <w:lang w:eastAsia="zh-CN"/>
        </w:rPr>
        <w:t>dual TCI states switchin</w:t>
      </w:r>
      <w:r w:rsidR="0058664B" w:rsidRPr="00B24FAA">
        <w:rPr>
          <w:rFonts w:ascii="Times New Roman" w:eastAsiaTheme="minorEastAsia" w:hAnsi="Times New Roman" w:cs="Times New Roman"/>
          <w:b/>
          <w:lang w:eastAsia="zh-CN"/>
        </w:rPr>
        <w:t>g</w:t>
      </w:r>
      <w:r w:rsidR="004970F4" w:rsidRPr="00B24FAA">
        <w:rPr>
          <w:rFonts w:ascii="Times New Roman" w:eastAsiaTheme="minorEastAsia" w:hAnsi="Times New Roman" w:cs="Times New Roman"/>
          <w:b/>
          <w:lang w:eastAsia="zh-CN"/>
        </w:rPr>
        <w:t xml:space="preserve"> firstly</w:t>
      </w:r>
      <w:r w:rsidR="0058664B" w:rsidRPr="00B24FAA">
        <w:rPr>
          <w:rFonts w:ascii="Times New Roman" w:eastAsiaTheme="minorEastAsia" w:hAnsi="Times New Roman" w:cs="Times New Roman"/>
          <w:b/>
          <w:lang w:eastAsia="zh-CN"/>
        </w:rPr>
        <w:t>.</w:t>
      </w:r>
      <w:r w:rsidRPr="00B24FAA">
        <w:rPr>
          <w:rFonts w:ascii="Times New Roman" w:eastAsiaTheme="minorEastAsia" w:hAnsi="Times New Roman" w:cs="Times New Roman"/>
          <w:b/>
          <w:lang w:eastAsia="zh-CN"/>
        </w:rPr>
        <w:t xml:space="preserve"> </w:t>
      </w:r>
      <w:r w:rsidR="004970F4" w:rsidRPr="00B24FAA">
        <w:rPr>
          <w:rFonts w:ascii="Times New Roman" w:eastAsiaTheme="minorEastAsia" w:hAnsi="Times New Roman" w:cs="Times New Roman"/>
          <w:b/>
          <w:lang w:eastAsia="zh-CN"/>
        </w:rPr>
        <w:t>FFS the transition of two TCI states and one TCI state.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D39" w:rsidRPr="00B24FAA" w14:paraId="6F9DAC44" w14:textId="77777777" w:rsidTr="002A6D39">
        <w:tc>
          <w:tcPr>
            <w:tcW w:w="9629" w:type="dxa"/>
          </w:tcPr>
          <w:p w14:paraId="6E979D1C" w14:textId="10887C79" w:rsidR="00D236ED" w:rsidRPr="00B24FAA" w:rsidRDefault="00D236ED" w:rsidP="00B24FAA">
            <w:pPr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u w:val="single"/>
                <w:lang w:eastAsia="ko-KR"/>
              </w:rPr>
            </w:pPr>
            <w:r w:rsidRPr="00B24FAA">
              <w:rPr>
                <w:rFonts w:ascii="Times New Roman" w:hAnsi="Times New Roman" w:cs="Times New Roman"/>
                <w:b/>
                <w:u w:val="single"/>
                <w:lang w:eastAsia="ko-KR"/>
              </w:rPr>
              <w:t>Issue 1-4-1: Known and unknown states combination</w:t>
            </w:r>
          </w:p>
          <w:p w14:paraId="4973281E" w14:textId="77777777" w:rsidR="00D236ED" w:rsidRPr="00B24FAA" w:rsidRDefault="00D236ED" w:rsidP="00B24FAA">
            <w:pPr>
              <w:pStyle w:val="aff4"/>
              <w:numPr>
                <w:ilvl w:val="0"/>
                <w:numId w:val="22"/>
              </w:numPr>
              <w:spacing w:beforeLines="50" w:before="120" w:afterLines="50" w:after="120" w:line="240" w:lineRule="auto"/>
              <w:ind w:left="720"/>
              <w:rPr>
                <w:rFonts w:ascii="Times New Roman" w:eastAsia="宋体" w:hAnsi="Times New Roman" w:cs="Times New Roman"/>
                <w:szCs w:val="24"/>
                <w:lang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highlight w:val="green"/>
                <w:lang w:val="en-US" w:eastAsia="zh-CN"/>
              </w:rPr>
              <w:t>Dual TCI state switching requirements are defined for simultaneous reception.</w:t>
            </w: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 It is </w:t>
            </w:r>
            <w:r w:rsidRPr="00B24FAA">
              <w:rPr>
                <w:rFonts w:ascii="Times New Roman" w:eastAsia="宋体" w:hAnsi="Times New Roman" w:cs="Times New Roman"/>
                <w:szCs w:val="24"/>
                <w:highlight w:val="green"/>
                <w:lang w:val="en-US" w:eastAsia="zh-CN"/>
              </w:rPr>
              <w:t>FFS whether we need to define any new requirements for non-simultaneous reception.</w:t>
            </w: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 </w:t>
            </w:r>
            <w:r w:rsidRPr="00B24FAA">
              <w:rPr>
                <w:rFonts w:ascii="Times New Roman" w:eastAsia="宋体" w:hAnsi="Times New Roman" w:cs="Times New Roman"/>
                <w:szCs w:val="24"/>
                <w:lang w:eastAsia="zh-CN"/>
              </w:rPr>
              <w:t xml:space="preserve">The dual TCI states known, or unknown are FFS. </w:t>
            </w:r>
          </w:p>
          <w:p w14:paraId="61D6E4EF" w14:textId="77777777" w:rsidR="00D236ED" w:rsidRPr="00B24FAA" w:rsidRDefault="00D236ED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Option A: known and known </w:t>
            </w:r>
          </w:p>
          <w:p w14:paraId="0C197D18" w14:textId="77777777" w:rsidR="00D236ED" w:rsidRPr="00B24FAA" w:rsidRDefault="00D236ED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B24F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 xml:space="preserve">Option B: Known and unknown </w:t>
            </w:r>
          </w:p>
          <w:p w14:paraId="28CD8615" w14:textId="7D8683E3" w:rsidR="002A6D39" w:rsidRPr="009A46AA" w:rsidRDefault="00D236ED" w:rsidP="00B24FAA">
            <w:pPr>
              <w:pStyle w:val="aff4"/>
              <w:numPr>
                <w:ilvl w:val="1"/>
                <w:numId w:val="22"/>
              </w:numPr>
              <w:spacing w:beforeLines="50" w:before="120" w:afterLines="50" w:after="120" w:line="240" w:lineRule="auto"/>
              <w:ind w:left="1440"/>
              <w:rPr>
                <w:rFonts w:ascii="Times New Roman" w:eastAsia="宋体" w:hAnsi="Times New Roman" w:cs="Times New Roman"/>
                <w:szCs w:val="24"/>
                <w:lang w:val="en-US" w:eastAsia="zh-CN"/>
              </w:rPr>
            </w:pPr>
            <w:r w:rsidRPr="009A46AA">
              <w:rPr>
                <w:rFonts w:ascii="Times New Roman" w:eastAsia="宋体" w:hAnsi="Times New Roman" w:cs="Times New Roman"/>
                <w:szCs w:val="24"/>
                <w:lang w:val="en-US" w:eastAsia="zh-CN"/>
              </w:rPr>
              <w:t>Option C: unknown and unknown</w:t>
            </w:r>
          </w:p>
        </w:tc>
      </w:tr>
    </w:tbl>
    <w:p w14:paraId="78BF8ED9" w14:textId="11D96AA8" w:rsidR="00E3614F" w:rsidRPr="00B24FAA" w:rsidRDefault="00C55ADF" w:rsidP="00B24FAA">
      <w:pPr>
        <w:spacing w:beforeLines="50" w:before="120" w:afterLines="50" w:after="120" w:line="240" w:lineRule="auto"/>
        <w:rPr>
          <w:rFonts w:ascii="Times New Roman" w:eastAsia="Times New Roman" w:hAnsi="Times New Roman" w:cs="Times New Roman"/>
          <w:i/>
          <w:lang w:eastAsia="zh-CN"/>
        </w:rPr>
      </w:pPr>
      <w:r w:rsidRPr="00B24FAA">
        <w:rPr>
          <w:rFonts w:ascii="Times New Roman" w:eastAsiaTheme="minorEastAsia" w:hAnsi="Times New Roman" w:cs="Times New Roman"/>
          <w:lang w:eastAsia="zh-CN"/>
        </w:rPr>
        <w:t>W</w:t>
      </w:r>
      <w:r w:rsidR="00E3614F" w:rsidRPr="00B24FAA">
        <w:rPr>
          <w:rFonts w:ascii="Times New Roman" w:eastAsiaTheme="minorEastAsia" w:hAnsi="Times New Roman" w:cs="Times New Roman"/>
          <w:lang w:eastAsia="zh-CN"/>
        </w:rPr>
        <w:t>e suggest the following principle</w:t>
      </w:r>
      <w:r w:rsidR="00BC14B2" w:rsidRPr="00B24FAA">
        <w:rPr>
          <w:rFonts w:ascii="Times New Roman" w:eastAsiaTheme="minorEastAsia" w:hAnsi="Times New Roman" w:cs="Times New Roman"/>
          <w:lang w:eastAsia="zh-CN"/>
        </w:rPr>
        <w:t>s</w:t>
      </w:r>
      <w:r w:rsidR="00E3614F" w:rsidRPr="00B24FAA">
        <w:rPr>
          <w:rFonts w:ascii="Times New Roman" w:eastAsiaTheme="minorEastAsia" w:hAnsi="Times New Roman" w:cs="Times New Roman"/>
          <w:lang w:eastAsia="zh-CN"/>
        </w:rPr>
        <w:t xml:space="preserve"> for delay requirements defining:</w:t>
      </w:r>
    </w:p>
    <w:p w14:paraId="69B36767" w14:textId="77777777" w:rsidR="00C55ADF" w:rsidRPr="009A46AA" w:rsidRDefault="00E3614F" w:rsidP="00B24FAA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9A46AA">
        <w:rPr>
          <w:rFonts w:ascii="Times New Roman" w:eastAsiaTheme="minorEastAsia" w:hAnsi="Times New Roman" w:cs="Times New Roman"/>
          <w:lang w:val="en-US" w:eastAsia="zh-CN"/>
        </w:rPr>
        <w:t>For</w:t>
      </w:r>
      <w:r w:rsidR="00C55ADF" w:rsidRPr="009A46AA">
        <w:rPr>
          <w:rFonts w:ascii="Times New Roman" w:eastAsiaTheme="minorEastAsia" w:hAnsi="Times New Roman" w:cs="Times New Roman"/>
          <w:lang w:val="en-US" w:eastAsia="zh-CN"/>
        </w:rPr>
        <w:t xml:space="preserve"> the</w:t>
      </w:r>
      <w:r w:rsidRPr="009A46AA">
        <w:rPr>
          <w:rFonts w:ascii="Times New Roman" w:eastAsiaTheme="minorEastAsia" w:hAnsi="Times New Roman" w:cs="Times New Roman"/>
          <w:lang w:val="en-US" w:eastAsia="zh-CN"/>
        </w:rPr>
        <w:t xml:space="preserve"> case</w:t>
      </w:r>
      <w:r w:rsidR="00C55ADF" w:rsidRPr="009A46AA">
        <w:rPr>
          <w:rFonts w:ascii="Times New Roman" w:eastAsiaTheme="minorEastAsia" w:hAnsi="Times New Roman" w:cs="Times New Roman"/>
          <w:lang w:val="en-US" w:eastAsia="zh-CN"/>
        </w:rPr>
        <w:t xml:space="preserve"> of Multiple DCI,</w:t>
      </w:r>
    </w:p>
    <w:p w14:paraId="19C52B7A" w14:textId="3E50139D" w:rsidR="00E3614F" w:rsidRPr="00B24FAA" w:rsidRDefault="00E3614F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B24FAA">
        <w:rPr>
          <w:rFonts w:ascii="Times New Roman" w:eastAsiaTheme="minorEastAsia" w:hAnsi="Times New Roman" w:cs="Times New Roman"/>
          <w:lang w:val="en-US" w:eastAsia="zh-CN"/>
        </w:rPr>
        <w:t>each TCI state is changed by independent procedure with different triggering commands</w:t>
      </w:r>
      <w:r w:rsidR="00C55ADF" w:rsidRPr="00B24FAA">
        <w:rPr>
          <w:rFonts w:ascii="Times New Roman" w:eastAsiaTheme="minorEastAsia" w:hAnsi="Times New Roman" w:cs="Times New Roman"/>
          <w:lang w:val="en-US" w:eastAsia="zh-CN"/>
        </w:rPr>
        <w:t>.</w:t>
      </w:r>
      <w:r w:rsidRPr="00B24FAA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C55ADF" w:rsidRPr="00B24FAA">
        <w:rPr>
          <w:rFonts w:ascii="Times New Roman" w:eastAsiaTheme="minorEastAsia" w:hAnsi="Times New Roman" w:cs="Times New Roman"/>
          <w:lang w:val="en-US" w:eastAsia="zh-CN"/>
        </w:rPr>
        <w:t>L</w:t>
      </w:r>
      <w:r w:rsidRPr="00B24FAA">
        <w:rPr>
          <w:rFonts w:ascii="Times New Roman" w:eastAsiaTheme="minorEastAsia" w:hAnsi="Times New Roman" w:cs="Times New Roman"/>
          <w:lang w:val="en-US" w:eastAsia="zh-CN"/>
        </w:rPr>
        <w:t xml:space="preserve">egacy requirements for each TCI state switching delay can be reused. </w:t>
      </w:r>
    </w:p>
    <w:p w14:paraId="210D391E" w14:textId="1354E787" w:rsidR="008C1ED6" w:rsidRPr="00B24FAA" w:rsidRDefault="008C1ED6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B24FAA">
        <w:rPr>
          <w:rFonts w:ascii="Times New Roman" w:eastAsiaTheme="minorEastAsia" w:hAnsi="Times New Roman" w:cs="Times New Roman"/>
          <w:lang w:val="en-US" w:eastAsia="zh-CN"/>
        </w:rPr>
        <w:t>The delay requirements for known and unknown TCI state should be treated separately.</w:t>
      </w:r>
    </w:p>
    <w:p w14:paraId="41603393" w14:textId="77777777" w:rsidR="00C55ADF" w:rsidRPr="00B24FAA" w:rsidRDefault="00E3614F" w:rsidP="00B24FAA">
      <w:pPr>
        <w:pStyle w:val="aff4"/>
        <w:numPr>
          <w:ilvl w:val="0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B24FAA">
        <w:rPr>
          <w:rFonts w:ascii="Times New Roman" w:eastAsiaTheme="minorEastAsia" w:hAnsi="Times New Roman" w:cs="Times New Roman"/>
          <w:lang w:val="en-US" w:eastAsia="zh-CN"/>
        </w:rPr>
        <w:lastRenderedPageBreak/>
        <w:t xml:space="preserve">For </w:t>
      </w:r>
      <w:r w:rsidR="00C55ADF" w:rsidRPr="00B24FAA">
        <w:rPr>
          <w:rFonts w:ascii="Times New Roman" w:eastAsiaTheme="minorEastAsia" w:hAnsi="Times New Roman" w:cs="Times New Roman"/>
          <w:lang w:val="en-US" w:eastAsia="zh-CN"/>
        </w:rPr>
        <w:t>the case of Single DCI,</w:t>
      </w:r>
      <w:r w:rsidRPr="00B24FAA">
        <w:rPr>
          <w:rFonts w:ascii="Times New Roman" w:eastAsiaTheme="minorEastAsia" w:hAnsi="Times New Roman" w:cs="Times New Roman"/>
          <w:lang w:val="en-US" w:eastAsia="zh-CN"/>
        </w:rPr>
        <w:t xml:space="preserve"> </w:t>
      </w:r>
    </w:p>
    <w:p w14:paraId="308A8230" w14:textId="77777777" w:rsidR="008C1ED6" w:rsidRPr="00B24FAA" w:rsidRDefault="00E3614F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9A46AA">
        <w:rPr>
          <w:rFonts w:ascii="Times New Roman" w:eastAsiaTheme="minorEastAsia" w:hAnsi="Times New Roman" w:cs="Times New Roman"/>
          <w:lang w:val="en-US" w:eastAsia="zh-CN"/>
        </w:rPr>
        <w:t>the same command triggers dual TCI state switching</w:t>
      </w:r>
      <w:r w:rsidR="00C55ADF" w:rsidRPr="009A46AA">
        <w:rPr>
          <w:rFonts w:ascii="Times New Roman" w:eastAsiaTheme="minorEastAsia" w:hAnsi="Times New Roman" w:cs="Times New Roman"/>
          <w:lang w:val="en-US" w:eastAsia="zh-CN"/>
        </w:rPr>
        <w:t>.</w:t>
      </w:r>
      <w:r w:rsidRPr="009A46AA">
        <w:rPr>
          <w:rFonts w:ascii="Times New Roman" w:eastAsiaTheme="minorEastAsia" w:hAnsi="Times New Roman" w:cs="Times New Roman"/>
          <w:lang w:val="en-US" w:eastAsia="zh-CN"/>
        </w:rPr>
        <w:t xml:space="preserve"> </w:t>
      </w:r>
      <w:r w:rsidR="00C55ADF" w:rsidRPr="009A46AA">
        <w:rPr>
          <w:rFonts w:ascii="Times New Roman" w:eastAsiaTheme="minorEastAsia" w:hAnsi="Times New Roman" w:cs="Times New Roman"/>
          <w:lang w:val="en-US" w:eastAsia="zh-CN"/>
        </w:rPr>
        <w:t>A</w:t>
      </w:r>
      <w:r w:rsidRPr="009A46AA">
        <w:rPr>
          <w:rFonts w:ascii="Times New Roman" w:eastAsiaTheme="minorEastAsia" w:hAnsi="Times New Roman" w:cs="Times New Roman"/>
          <w:lang w:val="en-US" w:eastAsia="zh-CN"/>
        </w:rPr>
        <w:t>dditional uncertainty time should be considered based on</w:t>
      </w:r>
      <w:r w:rsidR="00BC14B2" w:rsidRPr="009A46AA">
        <w:rPr>
          <w:rFonts w:ascii="Times New Roman" w:eastAsiaTheme="minorEastAsia" w:hAnsi="Times New Roman" w:cs="Times New Roman"/>
          <w:lang w:val="en-US" w:eastAsia="zh-CN"/>
        </w:rPr>
        <w:t xml:space="preserve"> the</w:t>
      </w:r>
      <w:r w:rsidRPr="009A46AA">
        <w:rPr>
          <w:rFonts w:ascii="Times New Roman" w:eastAsiaTheme="minorEastAsia" w:hAnsi="Times New Roman" w:cs="Times New Roman"/>
          <w:lang w:val="en-US" w:eastAsia="zh-CN"/>
        </w:rPr>
        <w:t xml:space="preserve"> legacy</w:t>
      </w:r>
      <w:r w:rsidR="00BC14B2" w:rsidRPr="009A46AA">
        <w:rPr>
          <w:rFonts w:ascii="Times New Roman" w:eastAsiaTheme="minorEastAsia" w:hAnsi="Times New Roman" w:cs="Times New Roman"/>
          <w:lang w:val="en-US" w:eastAsia="zh-CN"/>
        </w:rPr>
        <w:t xml:space="preserve"> single </w:t>
      </w:r>
      <w:r w:rsidRPr="009A46AA">
        <w:rPr>
          <w:rFonts w:ascii="Times New Roman" w:eastAsiaTheme="minorEastAsia" w:hAnsi="Times New Roman" w:cs="Times New Roman"/>
          <w:lang w:val="en-US" w:eastAsia="zh-CN"/>
        </w:rPr>
        <w:t>TCI state switching delay.</w:t>
      </w:r>
      <w:r w:rsidR="00BC14B2" w:rsidRPr="009A46AA">
        <w:rPr>
          <w:rFonts w:ascii="Times New Roman" w:eastAsiaTheme="minorEastAsia" w:hAnsi="Times New Roman" w:cs="Times New Roman"/>
          <w:lang w:val="en-US" w:eastAsia="zh-CN"/>
        </w:rPr>
        <w:t xml:space="preserve"> </w:t>
      </w:r>
    </w:p>
    <w:p w14:paraId="4054E5A2" w14:textId="5C75B5EF" w:rsidR="00BC14B2" w:rsidRPr="00B24FAA" w:rsidRDefault="008C1ED6" w:rsidP="00B24FAA">
      <w:pPr>
        <w:pStyle w:val="aff4"/>
        <w:numPr>
          <w:ilvl w:val="1"/>
          <w:numId w:val="36"/>
        </w:num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val="en-US" w:eastAsia="zh-CN"/>
        </w:rPr>
      </w:pPr>
      <w:r w:rsidRPr="00B24FAA">
        <w:rPr>
          <w:rFonts w:ascii="Times New Roman" w:eastAsiaTheme="minorEastAsia" w:hAnsi="Times New Roman" w:cs="Times New Roman"/>
          <w:lang w:val="en-US" w:eastAsia="zh-CN"/>
        </w:rPr>
        <w:t>FFS the need of dual TCI states known, or unknown</w:t>
      </w:r>
    </w:p>
    <w:p w14:paraId="658F2007" w14:textId="77777777" w:rsidR="00C55ADF" w:rsidRPr="00B24FAA" w:rsidRDefault="00C55ADF" w:rsidP="00B24FAA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B24FAA">
        <w:rPr>
          <w:rFonts w:ascii="Times New Roman" w:eastAsiaTheme="minorEastAsia" w:hAnsi="Times New Roman" w:cs="Times New Roman"/>
        </w:rPr>
        <w:t xml:space="preserve">For each of the two TCI states, the TCI state switch is assumed to be independent, and each of the TCI state can be known or unknown. </w:t>
      </w:r>
      <w:r w:rsidRPr="00B24FAA">
        <w:rPr>
          <w:rFonts w:ascii="Times New Roman" w:eastAsiaTheme="minorEastAsia" w:hAnsi="Times New Roman" w:cs="Times New Roman"/>
          <w:lang w:eastAsia="zh-CN"/>
        </w:rPr>
        <w:t xml:space="preserve">The delay requirements for known and unknown TCI state should be treated separately. </w:t>
      </w:r>
    </w:p>
    <w:p w14:paraId="3C21ACDB" w14:textId="02A4DD46" w:rsidR="00E3614F" w:rsidRPr="00B24FAA" w:rsidRDefault="00C55ADF" w:rsidP="00B24FAA">
      <w:pPr>
        <w:overflowPunct w:val="0"/>
        <w:autoSpaceDE w:val="0"/>
        <w:autoSpaceDN w:val="0"/>
        <w:adjustRightInd w:val="0"/>
        <w:spacing w:beforeLines="50" w:before="120" w:afterLines="50" w:after="120" w:line="240" w:lineRule="auto"/>
        <w:jc w:val="both"/>
        <w:textAlignment w:val="baseline"/>
        <w:rPr>
          <w:rFonts w:ascii="Times New Roman" w:eastAsiaTheme="minorEastAsia" w:hAnsi="Times New Roman" w:cs="Times New Roman"/>
          <w:lang w:eastAsia="zh-CN"/>
        </w:rPr>
      </w:pPr>
      <w:r w:rsidRPr="00B24FAA">
        <w:rPr>
          <w:rFonts w:ascii="Times New Roman" w:eastAsiaTheme="minorEastAsia" w:hAnsi="Times New Roman" w:cs="Times New Roman"/>
          <w:lang w:eastAsia="zh-CN"/>
        </w:rPr>
        <w:t xml:space="preserve">Besides, </w:t>
      </w:r>
      <w:r w:rsidRPr="00B24FAA">
        <w:rPr>
          <w:rFonts w:ascii="Times New Roman" w:eastAsia="Times New Roman" w:hAnsi="Times New Roman" w:cs="Times New Roman"/>
          <w:lang w:eastAsia="zh-CN"/>
        </w:rPr>
        <w:t xml:space="preserve">RAN4 agreed not to define additional TCI state switching delay for cross-panel TCI state switching. If RF session achieves a new conclusion on panels ON/OFF switch time, RRM session may revisit the issue if required. </w:t>
      </w:r>
    </w:p>
    <w:p w14:paraId="13CF2602" w14:textId="583B2FC9" w:rsidR="00BC14B2" w:rsidRPr="000F4523" w:rsidRDefault="00BC14B2" w:rsidP="000F4523">
      <w:pPr>
        <w:spacing w:beforeLines="50" w:before="120" w:after="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bookmarkStart w:id="2" w:name="_Ref118730774"/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</w:t>
      </w:r>
      <w:r w:rsidR="00FB3CE2"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2</w:t>
      </w: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:</w:t>
      </w:r>
      <w:r w:rsidR="00FB3CE2"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Agree on</w:t>
      </w: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 the following principles for defining dual TCI state switch delay requirements:</w:t>
      </w:r>
      <w:bookmarkEnd w:id="2"/>
    </w:p>
    <w:p w14:paraId="03781AD2" w14:textId="77777777" w:rsidR="00C55ADF" w:rsidRPr="000F4523" w:rsidRDefault="00C55ADF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3AFE82D0" w14:textId="77777777" w:rsidR="008C1ED6" w:rsidRPr="000F4523" w:rsidRDefault="00C55ADF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31A9A303" w14:textId="465160E1" w:rsidR="00C55ADF" w:rsidRPr="000F4523" w:rsidRDefault="00FB3CE2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delay requirements for known and unknown TCI state should be treated separately.</w:t>
      </w:r>
    </w:p>
    <w:p w14:paraId="53DF70D2" w14:textId="77777777" w:rsidR="00C55ADF" w:rsidRPr="000F4523" w:rsidRDefault="00C55ADF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</w:p>
    <w:p w14:paraId="7AC31364" w14:textId="77777777" w:rsidR="008C1ED6" w:rsidRPr="000F4523" w:rsidRDefault="00C55ADF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same command triggers dual TCI state switching. Additional uncertainty time should be considered based on the legacy single TCI state switching delay.</w:t>
      </w:r>
    </w:p>
    <w:p w14:paraId="3DF8141C" w14:textId="28CBE781" w:rsidR="00C55ADF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FFS the need of dual TCI states known, or unknown</w:t>
      </w:r>
    </w:p>
    <w:p w14:paraId="44D63244" w14:textId="27AB9058" w:rsidR="007D20D2" w:rsidRPr="00B24FAA" w:rsidRDefault="007D20D2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3</w:t>
      </w:r>
      <w:r w:rsidRPr="00B24FAA">
        <w:rPr>
          <w:rFonts w:ascii="Times New Roman" w:hAnsi="Times New Roman"/>
        </w:rPr>
        <w:tab/>
        <w:t>Conclusion</w:t>
      </w:r>
    </w:p>
    <w:p w14:paraId="71A51346" w14:textId="77777777" w:rsidR="00FB3CE2" w:rsidRPr="000F4523" w:rsidRDefault="00FB3CE2" w:rsidP="00B24FAA">
      <w:p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 xml:space="preserve">Proposal 1: Focus on </w:t>
      </w:r>
      <w:r w:rsidRPr="000F4523">
        <w:rPr>
          <w:rFonts w:ascii="Times New Roman" w:hAnsi="Times New Roman" w:cs="Times New Roman"/>
          <w:b/>
          <w:sz w:val="21"/>
          <w:szCs w:val="21"/>
          <w:lang w:eastAsia="zh-CN"/>
        </w:rPr>
        <w:t xml:space="preserve">simultaneous </w:t>
      </w: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dual TCI states switching firstly. FFS the transition of two TCI states and one TCI state.</w:t>
      </w:r>
    </w:p>
    <w:p w14:paraId="4A1E8347" w14:textId="77777777" w:rsidR="008C1ED6" w:rsidRPr="000F4523" w:rsidRDefault="008C1ED6" w:rsidP="000F4523">
      <w:pPr>
        <w:spacing w:beforeLines="50" w:before="120" w:after="0" w:line="240" w:lineRule="auto"/>
        <w:jc w:val="both"/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eastAsia="zh-CN"/>
        </w:rPr>
        <w:t>Proposal 2: Agree on the following principles for defining dual TCI state switch delay requirements:</w:t>
      </w:r>
    </w:p>
    <w:p w14:paraId="0F9F22F2" w14:textId="77777777" w:rsidR="008C1ED6" w:rsidRPr="000F4523" w:rsidRDefault="008C1ED6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For the case of Multiple DCI,</w:t>
      </w:r>
    </w:p>
    <w:p w14:paraId="670C63D2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each TCI state is changed by independent procedure with different triggering commands. Legacy requirements for each TCI state switching delay can be reused. </w:t>
      </w:r>
    </w:p>
    <w:p w14:paraId="615E5B2F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delay requirements for known and unknown TCI state should be treated separately.</w:t>
      </w:r>
    </w:p>
    <w:p w14:paraId="7BDD097D" w14:textId="77777777" w:rsidR="008C1ED6" w:rsidRPr="000F4523" w:rsidRDefault="008C1ED6" w:rsidP="000F4523">
      <w:pPr>
        <w:pStyle w:val="aff4"/>
        <w:numPr>
          <w:ilvl w:val="0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 xml:space="preserve">For the case of Single DCI, </w:t>
      </w:r>
    </w:p>
    <w:p w14:paraId="69C2046E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the same command triggers dual TCI state switching. Additional uncertainty time should be considered based on the legacy single TCI state switching delay.</w:t>
      </w:r>
    </w:p>
    <w:p w14:paraId="5330F243" w14:textId="77777777" w:rsidR="008C1ED6" w:rsidRPr="000F4523" w:rsidRDefault="008C1ED6" w:rsidP="000F4523">
      <w:pPr>
        <w:pStyle w:val="aff4"/>
        <w:numPr>
          <w:ilvl w:val="1"/>
          <w:numId w:val="36"/>
        </w:numPr>
        <w:spacing w:beforeLines="50" w:before="120" w:line="240" w:lineRule="auto"/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</w:pPr>
      <w:r w:rsidRPr="000F4523">
        <w:rPr>
          <w:rFonts w:ascii="Times New Roman" w:eastAsiaTheme="minorEastAsia" w:hAnsi="Times New Roman" w:cs="Times New Roman"/>
          <w:b/>
          <w:sz w:val="21"/>
          <w:szCs w:val="21"/>
          <w:lang w:val="en-US" w:eastAsia="zh-CN"/>
        </w:rPr>
        <w:t>FFS the need of dual TCI states known, or unknown</w:t>
      </w:r>
    </w:p>
    <w:p w14:paraId="69FA4E29" w14:textId="1F085021" w:rsidR="007D20D2" w:rsidRPr="00B24FAA" w:rsidRDefault="007D20D2" w:rsidP="00B24FAA">
      <w:pPr>
        <w:pStyle w:val="1"/>
        <w:spacing w:beforeLines="50" w:before="120" w:afterLines="50" w:after="120"/>
        <w:jc w:val="both"/>
        <w:rPr>
          <w:rFonts w:ascii="Times New Roman" w:hAnsi="Times New Roman"/>
        </w:rPr>
      </w:pPr>
      <w:r w:rsidRPr="00B24FAA">
        <w:rPr>
          <w:rFonts w:ascii="Times New Roman" w:hAnsi="Times New Roman"/>
        </w:rPr>
        <w:t>4</w:t>
      </w:r>
      <w:r w:rsidRPr="00B24FAA">
        <w:rPr>
          <w:rFonts w:ascii="Times New Roman" w:hAnsi="Times New Roman"/>
        </w:rPr>
        <w:tab/>
        <w:t>Reference</w:t>
      </w:r>
    </w:p>
    <w:p w14:paraId="618C4E63" w14:textId="73B5C5D8" w:rsidR="00BF5B41" w:rsidRPr="00B24FAA" w:rsidRDefault="00BF5B41" w:rsidP="00B24FAA">
      <w:pPr>
        <w:spacing w:beforeLines="50" w:before="120" w:afterLines="50" w:after="120" w:line="240" w:lineRule="auto"/>
        <w:rPr>
          <w:rFonts w:ascii="Times New Roman" w:eastAsiaTheme="minorEastAsia" w:hAnsi="Times New Roman" w:cs="Times New Roman"/>
          <w:lang w:eastAsia="zh-CN"/>
        </w:rPr>
      </w:pPr>
      <w:r w:rsidRPr="00B24FAA">
        <w:rPr>
          <w:rFonts w:ascii="Times New Roman" w:eastAsiaTheme="minorEastAsia" w:hAnsi="Times New Roman" w:cs="Times New Roman"/>
          <w:lang w:eastAsia="zh-CN"/>
        </w:rPr>
        <w:t>[1] R4-2220402, WF on NR FR2 multi-Rx chain DL reception – Part 3, Ericsson</w:t>
      </w:r>
    </w:p>
    <w:p w14:paraId="3A1EDDBD" w14:textId="0C14A6F8" w:rsidR="00BC4E2A" w:rsidRPr="00B24FAA" w:rsidRDefault="00124422" w:rsidP="00B24FAA">
      <w:pPr>
        <w:spacing w:beforeLines="50" w:before="120" w:afterLines="50" w:after="120" w:line="240" w:lineRule="auto"/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B24FAA">
        <w:rPr>
          <w:rFonts w:ascii="Times New Roman" w:eastAsiaTheme="minorEastAsia" w:hAnsi="Times New Roman" w:cs="Times New Roman"/>
          <w:lang w:eastAsia="zh-CN"/>
        </w:rPr>
        <w:t>[</w:t>
      </w:r>
      <w:r w:rsidR="00BF5B41" w:rsidRPr="00B24FAA">
        <w:rPr>
          <w:rFonts w:ascii="Times New Roman" w:eastAsiaTheme="minorEastAsia" w:hAnsi="Times New Roman" w:cs="Times New Roman"/>
          <w:lang w:eastAsia="zh-CN"/>
        </w:rPr>
        <w:t>2</w:t>
      </w:r>
      <w:r w:rsidRPr="00B24FAA">
        <w:rPr>
          <w:rFonts w:ascii="Times New Roman" w:eastAsiaTheme="minorEastAsia" w:hAnsi="Times New Roman" w:cs="Times New Roman"/>
          <w:lang w:eastAsia="zh-CN"/>
        </w:rPr>
        <w:t>]</w:t>
      </w:r>
      <w:r w:rsidR="00851739" w:rsidRPr="00B24FAA">
        <w:rPr>
          <w:rFonts w:ascii="Times New Roman" w:eastAsiaTheme="minorEastAsia" w:hAnsi="Times New Roman" w:cs="Times New Roman"/>
          <w:lang w:eastAsia="zh-CN"/>
        </w:rPr>
        <w:t xml:space="preserve"> R4-2215815</w:t>
      </w:r>
      <w:r w:rsidRPr="00B24FAA">
        <w:rPr>
          <w:rFonts w:ascii="Times New Roman" w:eastAsiaTheme="minorEastAsia" w:hAnsi="Times New Roman" w:cs="Times New Roman"/>
          <w:lang w:eastAsia="zh-CN"/>
        </w:rPr>
        <w:t xml:space="preserve">, </w:t>
      </w:r>
      <w:r w:rsidR="00851739" w:rsidRPr="00B24FAA">
        <w:rPr>
          <w:rFonts w:ascii="Times New Roman" w:eastAsiaTheme="minorEastAsia" w:hAnsi="Times New Roman" w:cs="Times New Roman"/>
          <w:lang w:eastAsia="zh-CN"/>
        </w:rPr>
        <w:t>Discussion on TCI state switching for FR2_multiRX_DL</w:t>
      </w:r>
      <w:r w:rsidRPr="00B24FAA">
        <w:rPr>
          <w:rFonts w:ascii="Times New Roman" w:eastAsiaTheme="minorEastAsia" w:hAnsi="Times New Roman" w:cs="Times New Roman"/>
          <w:lang w:eastAsia="zh-CN"/>
        </w:rPr>
        <w:t>, OPPO</w:t>
      </w:r>
    </w:p>
    <w:sectPr w:rsidR="00BC4E2A" w:rsidRPr="00B24FA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16849F" w14:textId="77777777" w:rsidR="00C26F7D" w:rsidRDefault="00C26F7D" w:rsidP="00973137">
      <w:pPr>
        <w:spacing w:after="0" w:line="240" w:lineRule="auto"/>
      </w:pPr>
      <w:r>
        <w:separator/>
      </w:r>
    </w:p>
  </w:endnote>
  <w:endnote w:type="continuationSeparator" w:id="0">
    <w:p w14:paraId="761DA1E5" w14:textId="77777777" w:rsidR="00C26F7D" w:rsidRDefault="00C26F7D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EFB3BE" w14:textId="77777777" w:rsidR="00C26F7D" w:rsidRDefault="00C26F7D" w:rsidP="00973137">
      <w:pPr>
        <w:spacing w:after="0" w:line="240" w:lineRule="auto"/>
      </w:pPr>
      <w:r>
        <w:separator/>
      </w:r>
    </w:p>
  </w:footnote>
  <w:footnote w:type="continuationSeparator" w:id="0">
    <w:p w14:paraId="7477B0C7" w14:textId="77777777" w:rsidR="00C26F7D" w:rsidRDefault="00C26F7D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D125E0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1324A61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5511F3"/>
    <w:multiLevelType w:val="hybridMultilevel"/>
    <w:tmpl w:val="7B68D9E6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D92FF3"/>
    <w:multiLevelType w:val="hybridMultilevel"/>
    <w:tmpl w:val="D27208FA"/>
    <w:lvl w:ilvl="0" w:tplc="BF30363A">
      <w:start w:val="1"/>
      <w:numFmt w:val="decimal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3A2C52"/>
    <w:multiLevelType w:val="hybridMultilevel"/>
    <w:tmpl w:val="F1E0D172"/>
    <w:lvl w:ilvl="0" w:tplc="F6F4B0D6">
      <w:start w:val="1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AA46647"/>
    <w:multiLevelType w:val="multilevel"/>
    <w:tmpl w:val="53F2C736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3EFA3B15"/>
    <w:multiLevelType w:val="hybridMultilevel"/>
    <w:tmpl w:val="204666C2"/>
    <w:lvl w:ilvl="0" w:tplc="5AAC12E2">
      <w:start w:val="302"/>
      <w:numFmt w:val="bullet"/>
      <w:lvlText w:val="-"/>
      <w:lvlJc w:val="left"/>
      <w:pPr>
        <w:ind w:left="420" w:hanging="420"/>
      </w:pPr>
      <w:rPr>
        <w:rFonts w:ascii="Times New Roman" w:hAnsi="Times New Roman" w:hint="default"/>
      </w:rPr>
    </w:lvl>
    <w:lvl w:ilvl="1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705335"/>
    <w:multiLevelType w:val="hybridMultilevel"/>
    <w:tmpl w:val="85D47F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29B12A6"/>
    <w:multiLevelType w:val="hybridMultilevel"/>
    <w:tmpl w:val="3280D78E"/>
    <w:lvl w:ilvl="0" w:tplc="2000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26"/>
  </w:num>
  <w:num w:numId="7">
    <w:abstractNumId w:val="2"/>
  </w:num>
  <w:num w:numId="8">
    <w:abstractNumId w:val="30"/>
  </w:num>
  <w:num w:numId="9">
    <w:abstractNumId w:val="20"/>
  </w:num>
  <w:num w:numId="10">
    <w:abstractNumId w:val="16"/>
  </w:num>
  <w:num w:numId="11">
    <w:abstractNumId w:val="21"/>
  </w:num>
  <w:num w:numId="12">
    <w:abstractNumId w:val="22"/>
  </w:num>
  <w:num w:numId="13">
    <w:abstractNumId w:val="6"/>
  </w:num>
  <w:num w:numId="14">
    <w:abstractNumId w:val="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27"/>
  </w:num>
  <w:num w:numId="18">
    <w:abstractNumId w:val="19"/>
  </w:num>
  <w:num w:numId="19">
    <w:abstractNumId w:val="17"/>
  </w:num>
  <w:num w:numId="20">
    <w:abstractNumId w:val="8"/>
  </w:num>
  <w:num w:numId="21">
    <w:abstractNumId w:val="3"/>
  </w:num>
  <w:num w:numId="22">
    <w:abstractNumId w:val="25"/>
  </w:num>
  <w:num w:numId="23">
    <w:abstractNumId w:val="1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0"/>
  </w:num>
  <w:num w:numId="30">
    <w:abstractNumId w:val="14"/>
  </w:num>
  <w:num w:numId="31">
    <w:abstractNumId w:val="23"/>
  </w:num>
  <w:num w:numId="32">
    <w:abstractNumId w:val="28"/>
  </w:num>
  <w:num w:numId="33">
    <w:abstractNumId w:val="9"/>
  </w:num>
  <w:num w:numId="34">
    <w:abstractNumId w:val="1"/>
  </w:num>
  <w:num w:numId="35">
    <w:abstractNumId w:val="0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0702"/>
    <w:rsid w:val="00081AE6"/>
    <w:rsid w:val="000826F4"/>
    <w:rsid w:val="0008458F"/>
    <w:rsid w:val="00085016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95F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523"/>
    <w:rsid w:val="000F4ACC"/>
    <w:rsid w:val="000F6A48"/>
    <w:rsid w:val="000F6DF3"/>
    <w:rsid w:val="001002FD"/>
    <w:rsid w:val="001005FF"/>
    <w:rsid w:val="00104973"/>
    <w:rsid w:val="001052F0"/>
    <w:rsid w:val="001062FB"/>
    <w:rsid w:val="001063E6"/>
    <w:rsid w:val="001067D2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422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025F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67810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3E44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5749"/>
    <w:rsid w:val="001E58E2"/>
    <w:rsid w:val="001E5E77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395"/>
    <w:rsid w:val="00220600"/>
    <w:rsid w:val="002224D2"/>
    <w:rsid w:val="002224DB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7408D"/>
    <w:rsid w:val="00274DEB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D39"/>
    <w:rsid w:val="002B06A6"/>
    <w:rsid w:val="002B24D6"/>
    <w:rsid w:val="002B3021"/>
    <w:rsid w:val="002B42DC"/>
    <w:rsid w:val="002B54AD"/>
    <w:rsid w:val="002B57F1"/>
    <w:rsid w:val="002B654E"/>
    <w:rsid w:val="002B6E77"/>
    <w:rsid w:val="002B742D"/>
    <w:rsid w:val="002C27A4"/>
    <w:rsid w:val="002C2F52"/>
    <w:rsid w:val="002C3D5F"/>
    <w:rsid w:val="002C4090"/>
    <w:rsid w:val="002C41E6"/>
    <w:rsid w:val="002C6191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2C88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5835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071F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09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C45"/>
    <w:rsid w:val="003D4D50"/>
    <w:rsid w:val="003D5B1F"/>
    <w:rsid w:val="003E15FA"/>
    <w:rsid w:val="003E188F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135E"/>
    <w:rsid w:val="00422AA4"/>
    <w:rsid w:val="00423830"/>
    <w:rsid w:val="004242F4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67C4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970F4"/>
    <w:rsid w:val="004A16BC"/>
    <w:rsid w:val="004A2B94"/>
    <w:rsid w:val="004A4B05"/>
    <w:rsid w:val="004A5ECC"/>
    <w:rsid w:val="004B08A1"/>
    <w:rsid w:val="004B2182"/>
    <w:rsid w:val="004B27D8"/>
    <w:rsid w:val="004B28A4"/>
    <w:rsid w:val="004B54B0"/>
    <w:rsid w:val="004B6F6A"/>
    <w:rsid w:val="004B7C0C"/>
    <w:rsid w:val="004C09EA"/>
    <w:rsid w:val="004C3898"/>
    <w:rsid w:val="004C5315"/>
    <w:rsid w:val="004C5E29"/>
    <w:rsid w:val="004C6BC9"/>
    <w:rsid w:val="004D0765"/>
    <w:rsid w:val="004D0E5F"/>
    <w:rsid w:val="004D176B"/>
    <w:rsid w:val="004D36B1"/>
    <w:rsid w:val="004D3C14"/>
    <w:rsid w:val="004D7EBD"/>
    <w:rsid w:val="004E2680"/>
    <w:rsid w:val="004E28F9"/>
    <w:rsid w:val="004E2C6E"/>
    <w:rsid w:val="004E382C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5DD7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3098"/>
    <w:rsid w:val="005153A7"/>
    <w:rsid w:val="005219CF"/>
    <w:rsid w:val="00522636"/>
    <w:rsid w:val="00522C43"/>
    <w:rsid w:val="0052579A"/>
    <w:rsid w:val="00534B59"/>
    <w:rsid w:val="0053579D"/>
    <w:rsid w:val="00535D9C"/>
    <w:rsid w:val="00535F91"/>
    <w:rsid w:val="00536759"/>
    <w:rsid w:val="00537C62"/>
    <w:rsid w:val="0054046B"/>
    <w:rsid w:val="00541454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036"/>
    <w:rsid w:val="00571466"/>
    <w:rsid w:val="00572505"/>
    <w:rsid w:val="0057607D"/>
    <w:rsid w:val="00582153"/>
    <w:rsid w:val="00582809"/>
    <w:rsid w:val="00582C26"/>
    <w:rsid w:val="00584F09"/>
    <w:rsid w:val="0058664B"/>
    <w:rsid w:val="005875AA"/>
    <w:rsid w:val="0058798C"/>
    <w:rsid w:val="005900FA"/>
    <w:rsid w:val="00592D70"/>
    <w:rsid w:val="005935A4"/>
    <w:rsid w:val="005948C2"/>
    <w:rsid w:val="00595C59"/>
    <w:rsid w:val="00595DCA"/>
    <w:rsid w:val="0059779B"/>
    <w:rsid w:val="005A1138"/>
    <w:rsid w:val="005A114D"/>
    <w:rsid w:val="005A1A54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4C1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76E"/>
    <w:rsid w:val="00613FBA"/>
    <w:rsid w:val="006148DB"/>
    <w:rsid w:val="00615587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87F22"/>
    <w:rsid w:val="00690A5B"/>
    <w:rsid w:val="00691026"/>
    <w:rsid w:val="006910D9"/>
    <w:rsid w:val="00693A32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2CBB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22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538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0A0A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1739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92BEC"/>
    <w:rsid w:val="0089391D"/>
    <w:rsid w:val="008939CB"/>
    <w:rsid w:val="008941E3"/>
    <w:rsid w:val="00894A88"/>
    <w:rsid w:val="00894D62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83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1ED6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0F46"/>
    <w:rsid w:val="008F1C4E"/>
    <w:rsid w:val="008F1EAB"/>
    <w:rsid w:val="008F272C"/>
    <w:rsid w:val="008F33DC"/>
    <w:rsid w:val="008F3874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486"/>
    <w:rsid w:val="00941636"/>
    <w:rsid w:val="009419D0"/>
    <w:rsid w:val="0094291B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72D4"/>
    <w:rsid w:val="009573E5"/>
    <w:rsid w:val="00960454"/>
    <w:rsid w:val="0096094D"/>
    <w:rsid w:val="00960AF4"/>
    <w:rsid w:val="00961921"/>
    <w:rsid w:val="00961A85"/>
    <w:rsid w:val="00961BB2"/>
    <w:rsid w:val="00961EF3"/>
    <w:rsid w:val="00962B77"/>
    <w:rsid w:val="009632C2"/>
    <w:rsid w:val="0096430A"/>
    <w:rsid w:val="00964819"/>
    <w:rsid w:val="00964B6C"/>
    <w:rsid w:val="0096554B"/>
    <w:rsid w:val="0096584A"/>
    <w:rsid w:val="009706D6"/>
    <w:rsid w:val="00971F08"/>
    <w:rsid w:val="00973137"/>
    <w:rsid w:val="00973B40"/>
    <w:rsid w:val="0097603D"/>
    <w:rsid w:val="00976949"/>
    <w:rsid w:val="00980477"/>
    <w:rsid w:val="00980A5A"/>
    <w:rsid w:val="00981767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25DF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46AA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534B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7B2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BCB"/>
    <w:rsid w:val="00A13E54"/>
    <w:rsid w:val="00A1525D"/>
    <w:rsid w:val="00A164BA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1A54"/>
    <w:rsid w:val="00A62A77"/>
    <w:rsid w:val="00A63483"/>
    <w:rsid w:val="00A63D08"/>
    <w:rsid w:val="00A63F79"/>
    <w:rsid w:val="00A64E7F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3A6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4FAA"/>
    <w:rsid w:val="00B25BE9"/>
    <w:rsid w:val="00B2704A"/>
    <w:rsid w:val="00B2763F"/>
    <w:rsid w:val="00B27AAC"/>
    <w:rsid w:val="00B30929"/>
    <w:rsid w:val="00B34034"/>
    <w:rsid w:val="00B34291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76998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965"/>
    <w:rsid w:val="00BB59BC"/>
    <w:rsid w:val="00BB608C"/>
    <w:rsid w:val="00BC0FDC"/>
    <w:rsid w:val="00BC14B2"/>
    <w:rsid w:val="00BC1B04"/>
    <w:rsid w:val="00BC3053"/>
    <w:rsid w:val="00BC3EEB"/>
    <w:rsid w:val="00BC4D2E"/>
    <w:rsid w:val="00BC4E2A"/>
    <w:rsid w:val="00BC6438"/>
    <w:rsid w:val="00BC7486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5B41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6F7D"/>
    <w:rsid w:val="00C2786D"/>
    <w:rsid w:val="00C279B5"/>
    <w:rsid w:val="00C27C45"/>
    <w:rsid w:val="00C3719D"/>
    <w:rsid w:val="00C37CB2"/>
    <w:rsid w:val="00C43618"/>
    <w:rsid w:val="00C45A75"/>
    <w:rsid w:val="00C471BC"/>
    <w:rsid w:val="00C473A5"/>
    <w:rsid w:val="00C506D5"/>
    <w:rsid w:val="00C51B4C"/>
    <w:rsid w:val="00C54995"/>
    <w:rsid w:val="00C54D41"/>
    <w:rsid w:val="00C557D1"/>
    <w:rsid w:val="00C55ADB"/>
    <w:rsid w:val="00C55ADF"/>
    <w:rsid w:val="00C60783"/>
    <w:rsid w:val="00C635DB"/>
    <w:rsid w:val="00C64672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7BE"/>
    <w:rsid w:val="00C76E3C"/>
    <w:rsid w:val="00C77376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1328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5684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6ED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33B8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E033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614F"/>
    <w:rsid w:val="00E3723A"/>
    <w:rsid w:val="00E37860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011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082D"/>
    <w:rsid w:val="00F010C6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38B9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54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45A"/>
    <w:rsid w:val="00F76EFA"/>
    <w:rsid w:val="00F77774"/>
    <w:rsid w:val="00F804BE"/>
    <w:rsid w:val="00F817CE"/>
    <w:rsid w:val="00F81A80"/>
    <w:rsid w:val="00F8249C"/>
    <w:rsid w:val="00F8361B"/>
    <w:rsid w:val="00F8456C"/>
    <w:rsid w:val="00F859D8"/>
    <w:rsid w:val="00F868F5"/>
    <w:rsid w:val="00F87DF4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A5F30"/>
    <w:rsid w:val="00FB3CE2"/>
    <w:rsid w:val="00FB3CF9"/>
    <w:rsid w:val="00FB4C80"/>
    <w:rsid w:val="00FB6A6A"/>
    <w:rsid w:val="00FC7429"/>
    <w:rsid w:val="00FC745E"/>
    <w:rsid w:val="00FD07F6"/>
    <w:rsid w:val="00FD16A9"/>
    <w:rsid w:val="00FD1B05"/>
    <w:rsid w:val="00FD1CAD"/>
    <w:rsid w:val="00FD1D0D"/>
    <w:rsid w:val="00FD1EB4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6E00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693A32"/>
    <w:pPr>
      <w:numPr>
        <w:numId w:val="10"/>
      </w:numPr>
      <w:tabs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5D44FA3-62BD-409A-A15A-006E28945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948</Words>
  <Characters>5410</Characters>
  <Application>Microsoft Office Word</Application>
  <DocSecurity>0</DocSecurity>
  <Lines>45</Lines>
  <Paragraphs>12</Paragraphs>
  <ScaleCrop>false</ScaleCrop>
  <Company>Ericsson</Company>
  <LinksUpToDate>false</LinksUpToDate>
  <CharactersWithSpaces>6346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10</cp:revision>
  <cp:lastPrinted>2008-01-31T07:09:00Z</cp:lastPrinted>
  <dcterms:created xsi:type="dcterms:W3CDTF">2023-02-17T08:18:00Z</dcterms:created>
  <dcterms:modified xsi:type="dcterms:W3CDTF">2023-02-17T11:12:00Z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